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5AC0C" w14:textId="38344D62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980C20">
        <w:rPr>
          <w:rFonts w:ascii="Century Gothic" w:eastAsia="Century Gothic" w:hAnsi="Century Gothic" w:cs="Century Gothic"/>
          <w:b/>
          <w:sz w:val="20"/>
          <w:szCs w:val="20"/>
        </w:rPr>
        <w:t>REFERENTE PER LA VALUTAZIONE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</w:r>
      <w:proofErr w:type="gramStart"/>
      <w:r w:rsidRPr="00AB48BD">
        <w:rPr>
          <w:rFonts w:ascii="Century Gothic" w:hAnsi="Century Gothic"/>
        </w:rPr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proofErr w:type="gramEnd"/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proofErr w:type="gramStart"/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proofErr w:type="gramEnd"/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4766CCDE" w14:textId="77777777" w:rsidR="00980C20" w:rsidRDefault="00AB48BD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980C20">
        <w:rPr>
          <w:rFonts w:ascii="Century Gothic" w:hAnsi="Century Gothic"/>
        </w:rPr>
        <w:t>REFERENTE PER LA VALUTAZIONE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</w:t>
      </w:r>
      <w:r w:rsidRPr="00252A7A">
        <w:rPr>
          <w:rFonts w:ascii="Century Gothic" w:hAnsi="Century Gothic"/>
          <w:sz w:val="18"/>
        </w:rPr>
        <w:t>:</w:t>
      </w:r>
      <w:r w:rsidR="00980C20" w:rsidRPr="00980C20">
        <w:rPr>
          <w:rFonts w:ascii="Century Gothic" w:hAnsi="Century Gothic"/>
        </w:rPr>
        <w:t xml:space="preserve"> </w:t>
      </w:r>
    </w:p>
    <w:p w14:paraId="1BE892CB" w14:textId="2DFFBF9E" w:rsidR="00980C20" w:rsidRPr="00252A7A" w:rsidRDefault="00980C20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3BDEACE9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689C3518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4BADBA60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62D3DADA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before="11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747FBF3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proofErr w:type="gramStart"/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  <w:proofErr w:type="gramEnd"/>
    </w:p>
    <w:p w14:paraId="4606A45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07DAEE54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05B22C57" w14:textId="44542D58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</w:p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lastRenderedPageBreak/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03DFC8F4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4D216461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61067" w14:textId="77777777" w:rsidR="00B91CFD" w:rsidRDefault="00B91CFD">
      <w:pPr>
        <w:spacing w:after="0" w:line="240" w:lineRule="auto"/>
      </w:pPr>
      <w:r>
        <w:separator/>
      </w:r>
    </w:p>
  </w:endnote>
  <w:endnote w:type="continuationSeparator" w:id="0">
    <w:p w14:paraId="3F225FBF" w14:textId="77777777" w:rsidR="00B91CFD" w:rsidRDefault="00B91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A4D496B-D749-954D-909E-0398B7515C61}"/>
    <w:embedBold r:id="rId2" w:fontKey="{4E251327-5FEE-E045-AB77-90EFE12826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79D5AB2-B666-614F-9ACF-F7D85F65EE59}"/>
    <w:embedBold r:id="rId4" w:fontKey="{E7BF32A8-2A69-AC43-AA8C-5606B7C3DD64}"/>
    <w:embedItalic r:id="rId5" w:fontKey="{BE02FB56-40CE-6C4B-8D4D-A0510FE5186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6B34A3ED-5520-504A-98A0-38F593E4643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E66DDB8F-E523-014D-AD5E-B68EDD37CB5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6590EF1F-FE8D-894D-A3AB-00911D707E7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6F357E81-F391-F347-9A1D-1F3FB4E78CFA}"/>
    <w:embedItalic r:id="rId10" w:fontKey="{1A7320D3-2800-C74B-A263-B3BA824F277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1" w:fontKey="{DE3BC3D1-5149-4C4E-AFBD-E1C13A31DACC}"/>
    <w:embedBold r:id="rId12" w:fontKey="{86E28EBC-F0E7-C646-B0FC-C2A4DCC82919}"/>
    <w:embedItalic r:id="rId13" w:fontKey="{6EE14557-9FA0-BF45-8C35-1EB2048D058C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14" w:fontKey="{4BA41AA3-9447-E24B-AE71-8A2CB23E36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F7E0A736-67BF-7647-A2D6-74C03EB911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F83185E4-7B8B-0B47-BFF6-D642E4C7B8D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8E97C" w14:textId="77777777" w:rsidR="00B91CFD" w:rsidRDefault="00B91CFD">
      <w:pPr>
        <w:spacing w:after="0" w:line="240" w:lineRule="auto"/>
      </w:pPr>
      <w:r>
        <w:separator/>
      </w:r>
    </w:p>
  </w:footnote>
  <w:footnote w:type="continuationSeparator" w:id="0">
    <w:p w14:paraId="0C82AB7F" w14:textId="77777777" w:rsidR="00B91CFD" w:rsidRDefault="00B91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2252242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2EB7B1DA" w14:textId="77777777" w:rsidR="00E05E7B" w:rsidRPr="00356B70" w:rsidRDefault="00E05E7B" w:rsidP="00E05E7B">
    <w:pPr>
      <w:spacing w:line="240" w:lineRule="auto"/>
      <w:jc w:val="both"/>
      <w:rPr>
        <w:rFonts w:ascii="Times New Roman" w:eastAsia="Times New Roman" w:hAnsi="Times New Roman" w:cs="Times New Roman"/>
        <w:sz w:val="24"/>
        <w:szCs w:val="24"/>
      </w:rPr>
    </w:pPr>
    <w:r w:rsidRPr="00356B70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Decreto del Ministro dell’istruzione e del merito 19 novembre 2024, n. 233, “Destinazione di risorse per percorsi di orientamento nelle scuole secondarie di primo grado, al fine di garantire un’efficace valorizzazione delle potenzialità e dei talenti degli studenti e una riduzione della dispersione e dell’abbandono scolastico, nell’ambito del Programma Nazionale “PN Scuola e competenze 2021-2027</w:t>
    </w:r>
    <w:proofErr w:type="gramStart"/>
    <w:r w:rsidRPr="00356B70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”,in</w:t>
    </w:r>
    <w:proofErr w:type="gramEnd"/>
    <w:r w:rsidRPr="00356B70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 xml:space="preserve"> attuazione del regolamento (UE) n. 2021/1060”.</w:t>
    </w:r>
  </w:p>
  <w:p w14:paraId="568A46BD" w14:textId="582EC419" w:rsidR="007243EC" w:rsidRDefault="00E05E7B" w:rsidP="00E05E7B">
    <w:pPr>
      <w:rPr>
        <w:rFonts w:ascii="Century Gothic" w:eastAsia="Century Gothic" w:hAnsi="Century Gothic" w:cs="Century Gothic"/>
        <w:sz w:val="20"/>
        <w:szCs w:val="20"/>
      </w:rPr>
    </w:pPr>
    <w:r w:rsidRPr="00356B70">
      <w:rPr>
        <w:rFonts w:ascii="Corbel" w:eastAsia="Times New Roman" w:hAnsi="Corbel" w:cs="Times New Roman"/>
        <w:b/>
        <w:bCs/>
        <w:color w:val="000000"/>
        <w:sz w:val="20"/>
        <w:szCs w:val="20"/>
      </w:rPr>
      <w:t>CODICE PROGETTO:</w:t>
    </w:r>
    <w:r w:rsidRPr="00356B70">
      <w:rPr>
        <w:rFonts w:eastAsia="Times New Roman"/>
        <w:color w:val="000000"/>
      </w:rPr>
      <w:t xml:space="preserve"> </w:t>
    </w:r>
    <w:r w:rsidRPr="00356B70">
      <w:rPr>
        <w:rFonts w:ascii="Century Gothic" w:eastAsia="Times New Roman" w:hAnsi="Century Gothic" w:cs="Times New Roman"/>
        <w:color w:val="000000"/>
        <w:sz w:val="20"/>
        <w:szCs w:val="20"/>
      </w:rPr>
      <w:t>ESO4.</w:t>
    </w:r>
    <w:proofErr w:type="gramStart"/>
    <w:r w:rsidRPr="00356B70">
      <w:rPr>
        <w:rFonts w:ascii="Century Gothic" w:eastAsia="Times New Roman" w:hAnsi="Century Gothic" w:cs="Times New Roman"/>
        <w:color w:val="000000"/>
        <w:sz w:val="20"/>
        <w:szCs w:val="20"/>
      </w:rPr>
      <w:t>6.A</w:t>
    </w:r>
    <w:proofErr w:type="gramEnd"/>
    <w:r w:rsidRPr="00356B70">
      <w:rPr>
        <w:rFonts w:ascii="Century Gothic" w:eastAsia="Times New Roman" w:hAnsi="Century Gothic" w:cs="Times New Roman"/>
        <w:color w:val="000000"/>
        <w:sz w:val="20"/>
        <w:szCs w:val="20"/>
      </w:rPr>
      <w:t>4.D-FSEPN-SI-2025-29</w:t>
    </w:r>
    <w:r w:rsidRPr="00356B70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356B70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356B70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  <w:t xml:space="preserve">  </w:t>
    </w:r>
    <w:r w:rsidRPr="00356B70">
      <w:rPr>
        <w:rFonts w:eastAsia="Times New Roman"/>
        <w:b/>
        <w:bCs/>
        <w:color w:val="000000"/>
        <w:shd w:val="clear" w:color="auto" w:fill="FFFFFF"/>
      </w:rPr>
      <w:t>CUP:</w:t>
    </w:r>
    <w:r w:rsidRPr="00356B70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 xml:space="preserve"> </w:t>
    </w:r>
    <w:r w:rsidRPr="00356B70">
      <w:rPr>
        <w:rFonts w:ascii="Century Gothic" w:eastAsia="Times New Roman" w:hAnsi="Century Gothic" w:cs="Times New Roman"/>
        <w:color w:val="000000"/>
        <w:sz w:val="20"/>
        <w:szCs w:val="20"/>
      </w:rPr>
      <w:t>D54D25001990007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1B11"/>
    <w:rsid w:val="000204BE"/>
    <w:rsid w:val="00034725"/>
    <w:rsid w:val="000B288C"/>
    <w:rsid w:val="000E4BAB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3D40BA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8156CB"/>
    <w:rsid w:val="008B779F"/>
    <w:rsid w:val="008D5BBE"/>
    <w:rsid w:val="00980C20"/>
    <w:rsid w:val="00A9729E"/>
    <w:rsid w:val="00AB48BD"/>
    <w:rsid w:val="00AE47D2"/>
    <w:rsid w:val="00B15C29"/>
    <w:rsid w:val="00B346B0"/>
    <w:rsid w:val="00B62925"/>
    <w:rsid w:val="00B91CFD"/>
    <w:rsid w:val="00C258B9"/>
    <w:rsid w:val="00C70E4B"/>
    <w:rsid w:val="00C72B4F"/>
    <w:rsid w:val="00DF442D"/>
    <w:rsid w:val="00E05E7B"/>
    <w:rsid w:val="00E46FE7"/>
    <w:rsid w:val="00E56CF7"/>
    <w:rsid w:val="00F44691"/>
    <w:rsid w:val="00F57E19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2</cp:revision>
  <cp:lastPrinted>2025-03-11T10:44:00Z</cp:lastPrinted>
  <dcterms:created xsi:type="dcterms:W3CDTF">2026-03-22T09:40:00Z</dcterms:created>
  <dcterms:modified xsi:type="dcterms:W3CDTF">2026-03-22T09:40:00Z</dcterms:modified>
</cp:coreProperties>
</file>